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Postgraduate Prize</w:t>
      </w:r>
    </w:p>
    <w:p w:rsidR="00000000" w:rsidDel="00000000" w:rsidP="00000000" w:rsidRDefault="00000000" w:rsidRPr="00000000" w14:paraId="00000002">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3">
      <w:pPr>
        <w:spacing w:after="280" w:before="280" w:line="240" w:lineRule="auto"/>
        <w:rPr>
          <w:rFonts w:ascii="Verdana" w:cs="Verdana" w:eastAsia="Verdana" w:hAnsi="Verdana"/>
        </w:rPr>
      </w:pPr>
      <w:r w:rsidDel="00000000" w:rsidR="00000000" w:rsidRPr="00000000">
        <w:rPr>
          <w:rFonts w:ascii="Verdana" w:cs="Verdana" w:eastAsia="Verdana" w:hAnsi="Verdana"/>
          <w:rtl w:val="0"/>
        </w:rPr>
        <w:t xml:space="preserve">The Postgraduate Prize provides scholarships to be awarded to Honours or Masters students enrolled at a New Zealand university to pursue research in New Zealand geosciences.</w:t>
      </w:r>
    </w:p>
    <w:p w:rsidR="00000000" w:rsidDel="00000000" w:rsidP="00000000" w:rsidRDefault="00000000" w:rsidRPr="00000000" w14:paraId="00000004">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5">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Rules relevant to applications and eligibility for this award are included as an appendix to this form. Please read these before completing the application.</w:t>
      </w:r>
    </w:p>
    <w:p w:rsidR="00000000" w:rsidDel="00000000" w:rsidP="00000000" w:rsidRDefault="00000000" w:rsidRPr="00000000" w14:paraId="00000006">
      <w:pP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7">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1: Details of nominee</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Name:</w:t>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University and Department:</w:t>
      </w:r>
    </w:p>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Email:</w:t>
      </w:r>
    </w:p>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Basis of nomination:</w:t>
      </w:r>
    </w:p>
    <w:p w:rsidR="00000000" w:rsidDel="00000000" w:rsidP="00000000" w:rsidRDefault="00000000" w:rsidRPr="00000000" w14:paraId="0000000C">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2: Postgraduate study plan</w:t>
      </w:r>
    </w:p>
    <w:p w:rsidR="00000000" w:rsidDel="00000000" w:rsidP="00000000" w:rsidRDefault="00000000" w:rsidRPr="00000000" w14:paraId="0000000E">
      <w:pPr>
        <w:rPr>
          <w:rFonts w:ascii="Verdana" w:cs="Verdana" w:eastAsia="Verdana" w:hAnsi="Verdana"/>
        </w:rPr>
      </w:pPr>
      <w:r w:rsidDel="00000000" w:rsidR="00000000" w:rsidRPr="00000000">
        <w:rPr>
          <w:rtl w:val="0"/>
        </w:rPr>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Degree to be undertaken:</w:t>
      </w:r>
    </w:p>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Anticipated start date:</w:t>
      </w:r>
    </w:p>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Provisional thesis title:</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Intended supervisor name and email:</w:t>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Brief summary of project:</w:t>
      </w:r>
    </w:p>
    <w:p w:rsidR="00000000" w:rsidDel="00000000" w:rsidP="00000000" w:rsidRDefault="00000000" w:rsidRPr="00000000" w14:paraId="00000014">
      <w:pPr>
        <w:rPr>
          <w:rFonts w:ascii="Verdana" w:cs="Verdana" w:eastAsia="Verdana" w:hAnsi="Verdana"/>
        </w:rPr>
      </w:pPr>
      <w:r w:rsidDel="00000000" w:rsidR="00000000" w:rsidRPr="00000000">
        <w:rPr>
          <w:rtl w:val="0"/>
        </w:rPr>
      </w:r>
    </w:p>
    <w:p w:rsidR="00000000" w:rsidDel="00000000" w:rsidP="00000000" w:rsidRDefault="00000000" w:rsidRPr="00000000" w14:paraId="00000015">
      <w:pPr>
        <w:rPr>
          <w:rFonts w:ascii="Verdana" w:cs="Verdana" w:eastAsia="Verdana" w:hAnsi="Verdan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Section 3: Declaration</w:t>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i w:val="1"/>
          <w:rtl w:val="0"/>
        </w:rPr>
        <w:t xml:space="preserve">I confirm that, to the best of my knowledge, the information contained within this application is true and accurate. </w:t>
        <w:tab/>
        <w:tab/>
        <w:tab/>
        <w:tab/>
        <w:tab/>
        <w:tab/>
      </w:r>
      <w:r w:rsidDel="00000000" w:rsidR="00000000" w:rsidRPr="00000000">
        <w:rPr>
          <w:rFonts w:ascii="Verdana" w:cs="Verdana" w:eastAsia="Verdana" w:hAnsi="Verdana"/>
          <w:rtl w:val="0"/>
        </w:rPr>
        <w:t xml:space="preserve">YES</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18">
      <w:pPr>
        <w:rPr>
          <w:rFonts w:ascii="Verdana" w:cs="Verdana" w:eastAsia="Verdana" w:hAnsi="Verdana"/>
        </w:rPr>
      </w:pPr>
      <w:r w:rsidDel="00000000" w:rsidR="00000000" w:rsidRPr="00000000">
        <w:rPr>
          <w:rtl w:val="0"/>
        </w:rPr>
      </w:r>
    </w:p>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Signed (Head of Department or their representative):</w:t>
      </w:r>
    </w:p>
    <w:p w:rsidR="00000000" w:rsidDel="00000000" w:rsidP="00000000" w:rsidRDefault="00000000" w:rsidRPr="00000000" w14:paraId="0000001A">
      <w:pPr>
        <w:rPr>
          <w:rFonts w:ascii="Verdana" w:cs="Verdana" w:eastAsia="Verdana" w:hAnsi="Verdana"/>
        </w:rPr>
      </w:pPr>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Date :</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i w:val="1"/>
        </w:rPr>
      </w:pPr>
      <w:r w:rsidDel="00000000" w:rsidR="00000000" w:rsidRPr="00000000">
        <w:rPr>
          <w:rFonts w:ascii="Verdana" w:cs="Verdana" w:eastAsia="Verdana" w:hAnsi="Verdana"/>
          <w:i w:val="1"/>
          <w:rtl w:val="0"/>
        </w:rPr>
        <w:t xml:space="preserve">Once completed, please send your application form to the current Chair of the Awards subcommittee (</w:t>
      </w:r>
      <w:hyperlink r:id="rId7">
        <w:r w:rsidDel="00000000" w:rsidR="00000000" w:rsidRPr="00000000">
          <w:rPr>
            <w:rFonts w:ascii="Verdana" w:cs="Verdana" w:eastAsia="Verdana" w:hAnsi="Verdana"/>
            <w:color w:val="0000ff"/>
            <w:u w:val="single"/>
            <w:rtl w:val="0"/>
          </w:rPr>
          <w:t xml:space="preserve">VP@gsnz.org.nz</w:t>
        </w:r>
      </w:hyperlink>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w:t>
      </w:r>
    </w:p>
    <w:p w:rsidR="00000000" w:rsidDel="00000000" w:rsidP="00000000" w:rsidRDefault="00000000" w:rsidRPr="00000000" w14:paraId="0000001E">
      <w:pPr>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1F">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Appendix</w:t>
      </w:r>
    </w:p>
    <w:p w:rsidR="00000000" w:rsidDel="00000000" w:rsidP="00000000" w:rsidRDefault="00000000" w:rsidRPr="00000000" w14:paraId="00000020">
      <w:pPr>
        <w:jc w:val="center"/>
        <w:rPr>
          <w:rFonts w:ascii="Verdana" w:cs="Verdana" w:eastAsia="Verdana" w:hAnsi="Verdana"/>
          <w:b w:val="1"/>
          <w:sz w:val="24"/>
          <w:szCs w:val="24"/>
        </w:rPr>
      </w:pPr>
      <w:r w:rsidDel="00000000" w:rsidR="00000000" w:rsidRPr="00000000">
        <w:rPr>
          <w:rFonts w:ascii="Verdana" w:cs="Verdana" w:eastAsia="Verdana" w:hAnsi="Verdana"/>
          <w:b w:val="1"/>
          <w:rtl w:val="0"/>
        </w:rPr>
        <w:t xml:space="preserve">Rules relevant to applications and eligibility for the Postgraduate Prize</w:t>
      </w:r>
      <w:r w:rsidDel="00000000" w:rsidR="00000000" w:rsidRPr="00000000">
        <w:rPr>
          <w:rtl w:val="0"/>
        </w:rPr>
      </w:r>
    </w:p>
    <w:p w:rsidR="00000000" w:rsidDel="00000000" w:rsidP="00000000" w:rsidRDefault="00000000" w:rsidRPr="00000000" w14:paraId="00000021">
      <w:pPr>
        <w:rPr>
          <w:rFonts w:ascii="Verdana" w:cs="Verdana" w:eastAsia="Verdana" w:hAnsi="Verdana"/>
        </w:rPr>
      </w:pPr>
      <w:bookmarkStart w:colFirst="0" w:colLast="0" w:name="_heading=h.ys3q4jbpnc4h" w:id="0"/>
      <w:bookmarkEnd w:id="0"/>
      <w:r w:rsidDel="00000000" w:rsidR="00000000" w:rsidRPr="00000000">
        <w:rPr>
          <w:rFonts w:ascii="Verdana" w:cs="Verdana" w:eastAsia="Verdana" w:hAnsi="Verdana"/>
          <w:rtl w:val="0"/>
        </w:rPr>
        <w:t xml:space="preserve">As contained within the GSNZ Bylaws pertaining to THE GEOSCIENCE SOCIETY OF NEW ZEALAND AWARDS TRUST (full version available via the </w:t>
      </w:r>
      <w:hyperlink r:id="rId8">
        <w:r w:rsidDel="00000000" w:rsidR="00000000" w:rsidRPr="00000000">
          <w:rPr>
            <w:rFonts w:ascii="Verdana" w:cs="Verdana" w:eastAsia="Verdana" w:hAnsi="Verdana"/>
            <w:color w:val="0000ff"/>
            <w:u w:val="single"/>
            <w:rtl w:val="0"/>
          </w:rPr>
          <w:t xml:space="preserve">GSNZ website</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22">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Each award shall consist of an inscribed certificate and such monetary sum as the Committee of the Society shall from time to time decide. If possible the awards shall be presented at the Annual General Meeting, or Annual Conference, of the Society.</w:t>
      </w:r>
    </w:p>
    <w:p w:rsidR="00000000" w:rsidDel="00000000" w:rsidP="00000000" w:rsidRDefault="00000000" w:rsidRPr="00000000" w14:paraId="00000023">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The scholarships shall be primarily to assist with research expenses of Honours and Masters students, and shall normally be awarded at the time that research work is about to commence.</w:t>
      </w:r>
    </w:p>
    <w:p w:rsidR="00000000" w:rsidDel="00000000" w:rsidP="00000000" w:rsidRDefault="00000000" w:rsidRPr="00000000" w14:paraId="00000024">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One award per year shall be offered to each of Auckland, Waikato, Massey, Victoria, Canterbury and Otago universities. Each year the Convenor of the Awards Subcommittee will solicit recommendations from the eligible universities.</w:t>
      </w:r>
    </w:p>
    <w:p w:rsidR="00000000" w:rsidDel="00000000" w:rsidP="00000000" w:rsidRDefault="00000000" w:rsidRPr="00000000" w14:paraId="00000025">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The award winners shall be selected by the Geoscience teaching staff of the eligible universities. All awards shall be made on the written recommendation of the heads of the relevant departments to the Convenor of the Awards Subcommittee, and shall be subject to ratification by the Committee of the Society. In the event that no suitable candidate is available at any of these universities, no award shall be made to that university in that year.</w:t>
      </w:r>
    </w:p>
    <w:p w:rsidR="00000000" w:rsidDel="00000000" w:rsidP="00000000" w:rsidRDefault="00000000" w:rsidRPr="00000000" w14:paraId="00000026">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Each award shall be given to the Geosciences student who, in the opinion of staff of the university, is most deserving of the distinction, taking into account proven academic and research ability, and the likelihood of significant expenses accruing during practical work. [Note that under paragraph 1, a nominee must be enrolled or approved to enrol at a New Zealand university and who is planning to undertake research in New Zealand Geoscience].</w:t>
      </w:r>
    </w:p>
    <w:p w:rsidR="00000000" w:rsidDel="00000000" w:rsidP="00000000" w:rsidRDefault="00000000" w:rsidRPr="00000000" w14:paraId="00000027">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A Head of Department from any New Zealand university not included in paragraph 6 above, may forward a recommendation for the nomination of a suitable student to the Convenor of the Awards Subcommittee (together with supporting information), and this nomination shall be considered by the Awards Subcommittee.</w:t>
      </w:r>
    </w:p>
    <w:p w:rsidR="00000000" w:rsidDel="00000000" w:rsidP="00000000" w:rsidRDefault="00000000" w:rsidRPr="00000000" w14:paraId="00000028">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The staff at each eligible university department shall decide whether the award may be held in conjunction with other awards or funding.</w:t>
      </w:r>
    </w:p>
    <w:p w:rsidR="00000000" w:rsidDel="00000000" w:rsidP="00000000" w:rsidRDefault="00000000" w:rsidRPr="00000000" w14:paraId="00000029">
      <w:pPr>
        <w:spacing w:after="280" w:before="28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Half the scholarship money shall be paid at the time the award is made. The other half shall be paid not earlier than five months later on application from the winner of the scholarship, supported by a letter from his/her supervisor certifying that satisfactory progress has been made; the application shall include a one page summary of the research for publication in the Geoscience Society of New Zealand Newsletter. Any unclaimed monies shall be reinvested in the Fund.</w:t>
      </w:r>
    </w:p>
    <w:p w:rsidR="00000000" w:rsidDel="00000000" w:rsidP="00000000" w:rsidRDefault="00000000" w:rsidRPr="00000000" w14:paraId="0000002A">
      <w:pPr>
        <w:rPr>
          <w:rFonts w:ascii="Verdana" w:cs="Verdana" w:eastAsia="Verdana" w:hAnsi="Verdana"/>
          <w:i w:val="1"/>
        </w:rPr>
      </w:pPr>
      <w:r w:rsidDel="00000000" w:rsidR="00000000" w:rsidRPr="00000000">
        <w:rPr>
          <w:rFonts w:ascii="Verdana" w:cs="Verdana" w:eastAsia="Verdana" w:hAnsi="Verdana"/>
          <w:i w:val="1"/>
          <w:rtl w:val="0"/>
        </w:rPr>
        <w:t xml:space="preserve">This page may be deleted on completion of the nomination.</w:t>
      </w:r>
    </w:p>
    <w:p w:rsidR="00000000" w:rsidDel="00000000" w:rsidP="00000000" w:rsidRDefault="00000000" w:rsidRPr="00000000" w14:paraId="0000002B">
      <w:pPr>
        <w:rPr>
          <w:rFonts w:ascii="Verdana" w:cs="Verdana" w:eastAsia="Verdana" w:hAnsi="Verdana"/>
          <w:i w:val="1"/>
        </w:rPr>
      </w:pPr>
      <w:r w:rsidDel="00000000" w:rsidR="00000000" w:rsidRPr="00000000">
        <w:rPr>
          <w:rtl w:val="0"/>
        </w:rPr>
      </w:r>
    </w:p>
    <w:sectPr>
      <w:headerReference r:id="rId9" w:type="default"/>
      <w:headerReference r:id="rId10" w:type="first"/>
      <w:pgSz w:h="16838" w:w="11906" w:orient="portrait"/>
      <w:pgMar w:bottom="1440" w:top="1440" w:left="1440" w:right="1440" w:header="39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Postgraduate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Prize Nomination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-248282</wp:posOffset>
          </wp:positionV>
          <wp:extent cx="7578090" cy="1438275"/>
          <wp:effectExtent b="0" l="0" r="0" t="0"/>
          <wp:wrapSquare wrapText="bothSides" distB="0" distT="0" distL="114300" distR="114300"/>
          <wp:docPr descr="A picture containing knife&#10;&#10;Description automatically generated" id="5"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7578090" cy="1438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18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869"/>
  </w:style>
  <w:style w:type="paragraph" w:styleId="Footer">
    <w:name w:val="footer"/>
    <w:basedOn w:val="Normal"/>
    <w:link w:val="FooterChar"/>
    <w:uiPriority w:val="99"/>
    <w:unhideWhenUsed w:val="1"/>
    <w:rsid w:val="00CB18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869"/>
  </w:style>
  <w:style w:type="paragraph" w:styleId="ListParagraph">
    <w:name w:val="List Paragraph"/>
    <w:basedOn w:val="Normal"/>
    <w:uiPriority w:val="34"/>
    <w:qFormat w:val="1"/>
    <w:rsid w:val="0094329E"/>
    <w:pPr>
      <w:ind w:left="720"/>
      <w:contextualSpacing w:val="1"/>
    </w:pPr>
  </w:style>
  <w:style w:type="character" w:styleId="Hyperlink">
    <w:name w:val="Hyperlink"/>
    <w:basedOn w:val="DefaultParagraphFont"/>
    <w:uiPriority w:val="99"/>
    <w:semiHidden w:val="1"/>
    <w:unhideWhenUsed w:val="1"/>
    <w:rsid w:val="00D34EA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gsnz.org.nz" TargetMode="External"/><Relationship Id="rId8" Type="http://schemas.openxmlformats.org/officeDocument/2006/relationships/hyperlink" Target="http://gsnz.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vLYVDobVIfzrQQmkmFDEPBMDw==">CgMxLjAyDmgueXMzcTRqYnBuYzRoOAByITEwbGVlV2kyaHpZdUdJZlJmNU00dXQ4MGpMT0tfSUU4Nw==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2020-06-25T01:59:00Z</dcterms:created>
  <dc:creator>Holt, Katherine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ies>
</file>