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Hayward Geocommunication Award</w:t>
      </w:r>
    </w:p>
    <w:p w:rsidR="00000000" w:rsidDel="00000000" w:rsidP="00000000" w:rsidRDefault="00000000" w:rsidRPr="00000000" w14:paraId="00000002">
      <w:pPr>
        <w:jc w:val="center"/>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Awarded to a NZ-based geoscientist or to geoscientists for the most meritorious contribution to geocommunication in the current and previous three calendar years.</w:t>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 and Nominators</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Name and title of nominee:</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this a team nomination?  Yes  /  No</w:t>
      </w:r>
    </w:p>
    <w:p w:rsidR="00000000" w:rsidDel="00000000" w:rsidP="00000000" w:rsidRDefault="00000000" w:rsidRPr="00000000" w14:paraId="0000000C">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(in the instance where the nomination is for a team/group of geoscientists, please add the names of additional team members in Section 5)</w:t>
      </w:r>
    </w:p>
    <w:p w:rsidR="00000000" w:rsidDel="00000000" w:rsidP="00000000" w:rsidRDefault="00000000" w:rsidRPr="00000000" w14:paraId="0000000D">
      <w:pPr>
        <w:rPr>
          <w:rFonts w:ascii="Verdana" w:cs="Verdana" w:eastAsia="Verdana" w:hAnsi="Verdana"/>
        </w:rPr>
      </w:pPr>
      <w:r w:rsidDel="00000000" w:rsidR="00000000" w:rsidRPr="00000000">
        <w:rPr>
          <w:rtl w:val="0"/>
        </w:rPr>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Name and title of primary nominator:</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Name and title of secondary nominator (optional):</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Address:</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9">
      <w:pPr>
        <w:rPr>
          <w:rFonts w:ascii="Verdana" w:cs="Verdana" w:eastAsia="Verdana" w:hAnsi="Verdan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Supporting Statement</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Please provide a supporting statement (no longer than 2 A4 pages) which illustrates the merit of the contribution to geoscience communication, specifically highlighting the excellence, clarity of message, accuracy and, if relevant, innovation. The societal importance of the geocommunication topic or the size of the audience should not be a primary focus.</w:t>
      </w:r>
    </w:p>
    <w:p w:rsidR="00000000" w:rsidDel="00000000" w:rsidP="00000000" w:rsidRDefault="00000000" w:rsidRPr="00000000" w14:paraId="0000001C">
      <w:pPr>
        <w:rPr>
          <w:i w:val="1"/>
        </w:rPr>
      </w:pPr>
      <w:r w:rsidDel="00000000" w:rsidR="00000000" w:rsidRPr="00000000">
        <w:rPr>
          <w:rFonts w:ascii="Verdana" w:cs="Verdana" w:eastAsia="Verdana" w:hAnsi="Verdana"/>
          <w:rtl w:val="0"/>
        </w:rPr>
        <w:t xml:space="preserve"> </w:t>
      </w:r>
      <w:r w:rsidDel="00000000" w:rsidR="00000000" w:rsidRPr="00000000">
        <w:rPr>
          <w:i w:val="1"/>
          <w:rtl w:val="0"/>
        </w:rPr>
        <w:t xml:space="preserve">Enter the supporting statement here. The text box will automatically expand to accommodate the text as necessary. These instructions can be deleted.</w:t>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Activities relative to normal duties</w:t>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Please provide a brief (no longer than 150 words) statement to explain how the communication activities being considered go above and beyond the nominee’(s’) regular employment duties. </w:t>
      </w:r>
    </w:p>
    <w:p w:rsidR="00000000" w:rsidDel="00000000" w:rsidP="00000000" w:rsidRDefault="00000000" w:rsidRPr="00000000" w14:paraId="00000020">
      <w:pPr>
        <w:rPr>
          <w:i w:val="1"/>
        </w:rPr>
      </w:pPr>
      <w:r w:rsidDel="00000000" w:rsidR="00000000" w:rsidRPr="00000000">
        <w:rPr>
          <w:i w:val="1"/>
          <w:rtl w:val="0"/>
        </w:rPr>
        <w:t xml:space="preserve">Enter the statement here. The text box will automatically expand to accommodate the text as necessary. These instructions can be deleted.</w:t>
      </w:r>
    </w:p>
    <w:p w:rsidR="00000000" w:rsidDel="00000000" w:rsidP="00000000" w:rsidRDefault="00000000" w:rsidRPr="00000000" w14:paraId="00000021">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Details of publications, presentations, etc., </w:t>
      </w:r>
    </w:p>
    <w:p w:rsidR="00000000" w:rsidDel="00000000" w:rsidP="00000000" w:rsidRDefault="00000000" w:rsidRPr="00000000" w14:paraId="00000023">
      <w:pPr>
        <w:rPr>
          <w:i w:val="1"/>
        </w:rPr>
      </w:pPr>
      <w:r w:rsidDel="00000000" w:rsidR="00000000" w:rsidRPr="00000000">
        <w:rPr>
          <w:i w:val="1"/>
          <w:rtl w:val="0"/>
        </w:rPr>
        <w:t xml:space="preserve">Enter the details for the communications associated with this nomination here. This might include dates time and places of public presentation events, reference information for newspaper/magazine articles, web links to online articles/websites containing the communications, etc. The text box will automatically expand to accommodate the text as necessary. These instructions can be deleted. Applicants/nominators are encouraged to append digital copies of the communications to the application, where applicable. </w:t>
      </w:r>
    </w:p>
    <w:p w:rsidR="00000000" w:rsidDel="00000000" w:rsidP="00000000" w:rsidRDefault="00000000" w:rsidRPr="00000000" w14:paraId="0000002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5: Additional Nominees and Nominators (optional)</w:t>
      </w:r>
    </w:p>
    <w:p w:rsidR="00000000" w:rsidDel="00000000" w:rsidP="00000000" w:rsidRDefault="00000000" w:rsidRPr="00000000" w14:paraId="00000026">
      <w:pPr>
        <w:rPr>
          <w:i w:val="1"/>
        </w:rPr>
      </w:pPr>
      <w:r w:rsidDel="00000000" w:rsidR="00000000" w:rsidRPr="00000000">
        <w:rPr>
          <w:i w:val="1"/>
          <w:rtl w:val="0"/>
        </w:rPr>
        <w:t xml:space="preserve">Enter the names and addresses for any additional nominees and nominators here (</w:t>
      </w:r>
      <w:r w:rsidDel="00000000" w:rsidR="00000000" w:rsidRPr="00000000">
        <w:rPr>
          <w:b w:val="1"/>
          <w:i w:val="1"/>
          <w:rtl w:val="0"/>
        </w:rPr>
        <w:t xml:space="preserve">please distinguish clearly between nominees and nominators</w:t>
      </w:r>
      <w:r w:rsidDel="00000000" w:rsidR="00000000" w:rsidRPr="00000000">
        <w:rPr>
          <w:i w:val="1"/>
          <w:rtl w:val="0"/>
        </w:rPr>
        <w:t xml:space="preserve">). The text box will automatically expand to accommodate the text as necessary. These instructions can be deleted.</w:t>
      </w:r>
    </w:p>
    <w:p w:rsidR="00000000" w:rsidDel="00000000" w:rsidP="00000000" w:rsidRDefault="00000000" w:rsidRPr="00000000" w14:paraId="00000027">
      <w:pPr>
        <w:rPr>
          <w:rFonts w:ascii="Verdana" w:cs="Verdana" w:eastAsia="Verdana" w:hAnsi="Verdana"/>
        </w:rPr>
      </w:pPr>
      <w:r w:rsidDel="00000000" w:rsidR="00000000" w:rsidRPr="00000000">
        <w:rPr>
          <w:rtl w:val="0"/>
        </w:rPr>
      </w:r>
    </w:p>
    <w:p w:rsidR="00000000" w:rsidDel="00000000" w:rsidP="00000000" w:rsidRDefault="00000000" w:rsidRPr="00000000" w14:paraId="00000028">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6: Declaration</w:t>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A">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2C">
      <w:pPr>
        <w:rPr>
          <w:rFonts w:ascii="Verdana" w:cs="Verdana" w:eastAsia="Verdana" w:hAnsi="Verdana"/>
          <w:i w:val="1"/>
        </w:rPr>
      </w:pPr>
      <w:r w:rsidDel="00000000" w:rsidR="00000000" w:rsidRPr="00000000">
        <w:rPr>
          <w:rFonts w:ascii="Verdana" w:cs="Verdana" w:eastAsia="Verdana" w:hAnsi="Verdana"/>
          <w:i w:val="1"/>
          <w:rtl w:val="0"/>
        </w:rPr>
        <w:t xml:space="preserve">Rules relevant to applications and eligibility for the Hayward Geocommunication Award</w:t>
      </w:r>
    </w:p>
    <w:p w:rsidR="00000000" w:rsidDel="00000000" w:rsidP="00000000" w:rsidRDefault="00000000" w:rsidRPr="00000000" w14:paraId="0000002D">
      <w:pPr>
        <w:rPr>
          <w:rFonts w:ascii="Verdana" w:cs="Verdana" w:eastAsia="Verdana" w:hAnsi="Verdana"/>
        </w:rPr>
      </w:pPr>
      <w:r w:rsidDel="00000000" w:rsidR="00000000" w:rsidRPr="00000000">
        <w:rPr>
          <w:rFonts w:ascii="Verdana" w:cs="Verdana" w:eastAsia="Verdana" w:hAnsi="Verdana"/>
          <w:i w:val="1"/>
          <w:rtl w:val="0"/>
        </w:rPr>
        <w:t xml:space="preserve">As contained within the GSNZ Bylaws pertaining to The Geoscience Society Of New Zealand Awards Trust </w:t>
      </w:r>
      <w:r w:rsidDel="00000000" w:rsidR="00000000" w:rsidRPr="00000000">
        <w:rPr>
          <w:rFonts w:ascii="Verdana" w:cs="Verdana" w:eastAsia="Verdana" w:hAnsi="Verdana"/>
          <w:rtl w:val="0"/>
        </w:rPr>
        <w:t xml:space="preserve">(full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w:t>
      </w:r>
      <w:r w:rsidDel="00000000" w:rsidR="00000000" w:rsidRPr="00000000">
        <w:rPr>
          <w:rtl w:val="0"/>
        </w:rPr>
      </w:r>
    </w:p>
    <w:p w:rsidR="00000000" w:rsidDel="00000000" w:rsidP="00000000" w:rsidRDefault="00000000" w:rsidRPr="00000000" w14:paraId="0000002E">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 The Hayward Geocommunication Award was established in 2020 to recognise and promote excellence, innovation and accuracy in “geocommunication” to “public” audiences by a New Zealand “geoscientist” or group of geoscientists. Definitions:</w:t>
      </w:r>
    </w:p>
    <w:p w:rsidR="00000000" w:rsidDel="00000000" w:rsidP="00000000" w:rsidRDefault="00000000" w:rsidRPr="00000000" w14:paraId="0000002F">
      <w:pPr>
        <w:spacing w:after="240" w:before="240" w:line="276" w:lineRule="auto"/>
        <w:ind w:left="1560" w:hanging="42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w:t>
        <w:tab/>
        <w:t xml:space="preserve">  “Public” audience means any audience other than a geoscience-specific audience (i.e., not a geoscientific conference, workshop, thesis, journal publication or technical report, university or school geoscience course or lecture).</w:t>
      </w:r>
    </w:p>
    <w:p w:rsidR="00000000" w:rsidDel="00000000" w:rsidP="00000000" w:rsidRDefault="00000000" w:rsidRPr="00000000" w14:paraId="00000030">
      <w:pPr>
        <w:spacing w:after="240" w:before="240" w:line="276" w:lineRule="auto"/>
        <w:ind w:left="1560" w:hanging="42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w:t>
        <w:tab/>
        <w:t xml:space="preserve">  “Geocommunication” means communication of geoscience topics at a level that can be understood by the public audience. The communication may be in any field of geoscience. The mode of communication may be by any means, which may include (but not be limited to) oral, written, video, web-based, social media, digital applications, games, field trips, artistic media etc.</w:t>
      </w:r>
    </w:p>
    <w:p w:rsidR="00000000" w:rsidDel="00000000" w:rsidP="00000000" w:rsidRDefault="00000000" w:rsidRPr="00000000" w14:paraId="00000031">
      <w:pPr>
        <w:spacing w:after="240" w:before="240" w:line="276" w:lineRule="auto"/>
        <w:ind w:left="1560" w:hanging="42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w:t>
        <w:tab/>
        <w:t xml:space="preserve">  “Geoscientist” is to be interpreted liberally to include anyone involved in geoscience (scientist, technician, graduate student) or with a geoscience background, but excludes career reporters. Professional geoscience lecturers, geoscience communicators or teachers are eligible for this award if it recognises contributions outside the normal communication duties of such positions.</w:t>
      </w:r>
    </w:p>
    <w:p w:rsidR="00000000" w:rsidDel="00000000" w:rsidP="00000000" w:rsidRDefault="00000000" w:rsidRPr="00000000" w14:paraId="00000032">
      <w:pPr>
        <w:spacing w:after="240" w:before="240" w:line="276" w:lineRule="auto"/>
        <w:rPr>
          <w:rFonts w:ascii="Verdana" w:cs="Verdana" w:eastAsia="Verdana" w:hAnsi="Verdana"/>
          <w:i w:val="1"/>
          <w:sz w:val="16"/>
          <w:szCs w:val="16"/>
        </w:rPr>
      </w:pPr>
      <w:r w:rsidDel="00000000" w:rsidR="00000000" w:rsidRPr="00000000">
        <w:rPr>
          <w:rFonts w:ascii="Verdana" w:cs="Verdana" w:eastAsia="Verdana" w:hAnsi="Verdana"/>
          <w:i w:val="1"/>
          <w:sz w:val="20"/>
          <w:szCs w:val="20"/>
          <w:rtl w:val="0"/>
        </w:rPr>
        <w:t xml:space="preserve">2. The Society shall award the Hayward Geocommunication Award for the most meritorious contribution to public communication by a New Zealand-based geoscientist or geoscientists where the bulk of the communication has taken place in the current and previous three calendar years. No award shall be made if, in the opinion of the Awards Subcommittee or the National Committee, no sufficiently meritorious contribution has been made or nominated.</w:t>
      </w:r>
      <w:r w:rsidDel="00000000" w:rsidR="00000000" w:rsidRPr="00000000">
        <w:rPr>
          <w:rtl w:val="0"/>
        </w:rPr>
      </w:r>
    </w:p>
    <w:p w:rsidR="00000000" w:rsidDel="00000000" w:rsidP="00000000" w:rsidRDefault="00000000" w:rsidRPr="00000000" w14:paraId="00000033">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The main criteria of this award should be excellence, clarity of message and accuracy. Innovation may also be considered, but is not required.  The societal importance of the geocommunication topic or the size of the audience should not be of primary consideration. The award will be judged by the Awards subcommittee of the Geoscience Society of New Zealand.</w:t>
      </w:r>
    </w:p>
    <w:p w:rsidR="00000000" w:rsidDel="00000000" w:rsidP="00000000" w:rsidRDefault="00000000" w:rsidRPr="00000000" w14:paraId="00000034">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The award shall consist of an inscribed certificate and a monetary prize. The amount of the monetary prize is to be determined by the national committee of the Geoscience Society of New Zealand. Funds shall be invested and each year up to two thirds of the interest may be used for the award with the balance reinvested.</w:t>
      </w:r>
    </w:p>
    <w:p w:rsidR="00000000" w:rsidDel="00000000" w:rsidP="00000000" w:rsidRDefault="00000000" w:rsidRPr="00000000" w14:paraId="00000035">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Nominations shall be called for annually along with other general awards of the Society. Where possible the nomination should include copies of, or links to, the outstanding communication/s being considered.</w:t>
      </w:r>
    </w:p>
    <w:p w:rsidR="00000000" w:rsidDel="00000000" w:rsidP="00000000" w:rsidRDefault="00000000" w:rsidRPr="00000000" w14:paraId="00000036">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6. The Award shall be presented or announced at the Annual General Meeting or Annual Conference of the Society.</w:t>
      </w:r>
    </w:p>
    <w:p w:rsidR="00000000" w:rsidDel="00000000" w:rsidP="00000000" w:rsidRDefault="00000000" w:rsidRPr="00000000" w14:paraId="00000037">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7. The awardee shall be invited to share their geocommunication or insight into geocommunication with members of the society through the most appropriate forum.</w:t>
      </w:r>
    </w:p>
    <w:p w:rsidR="00000000" w:rsidDel="00000000" w:rsidP="00000000" w:rsidRDefault="00000000" w:rsidRPr="00000000" w14:paraId="00000038">
      <w:pPr>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This page may be deleted on completion of the application</w:t>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Verdana" w:cs="Verdana" w:eastAsia="Verdana" w:hAnsi="Verdana"/>
        <w:i w:val="1"/>
        <w:color w:val="000000"/>
        <w:sz w:val="20"/>
        <w:szCs w:val="20"/>
      </w:rPr>
    </w:pPr>
    <w:r w:rsidDel="00000000" w:rsidR="00000000" w:rsidRPr="00000000">
      <w:rPr>
        <w:rFonts w:ascii="Verdana" w:cs="Verdana" w:eastAsia="Verdana" w:hAnsi="Verdana"/>
        <w:i w:val="1"/>
        <w:color w:val="000000"/>
        <w:sz w:val="20"/>
        <w:szCs w:val="20"/>
        <w:rtl w:val="0"/>
      </w:rPr>
      <w:t xml:space="preserve">Additional nominees and nominators may be added at the end of the application, if applicable.</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i w:val="1"/>
        <w:color w:val="000000"/>
      </w:rPr>
    </w:pPr>
    <w:r w:rsidDel="00000000" w:rsidR="00000000" w:rsidRPr="00000000">
      <w:rPr>
        <w:i w:val="1"/>
        <w:color w:val="000000"/>
        <w:rtl w:val="0"/>
      </w:rPr>
      <w:t xml:space="preserve">Hayward Geocommunication Award Nomination</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-248282</wp:posOffset>
          </wp:positionV>
          <wp:extent cx="7578090" cy="1438275"/>
          <wp:effectExtent b="0" l="0" r="0" t="0"/>
          <wp:wrapSquare wrapText="bothSides" distB="0" distT="0" distL="114300" distR="114300"/>
          <wp:docPr descr="A picture containing knife&#10;&#10;Description automatically generated" id="5"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semiHidden w:val="1"/>
    <w:unhideWhenUsed w:val="1"/>
    <w:rsid w:val="009F497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oVqeIHl3hZ+C2RoY+5qIeOgFw==">CgMxLjAyCGguZ2pkZ3hzOAByITE5VzRodDYwOHVHRTBVeHQtYmpEYVZkV3I1REw4N1NFZA==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2020-06-27T21:16:00Z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